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4D3" w:rsidRDefault="00FA1127" w:rsidP="00FA1127">
      <w:pPr>
        <w:pStyle w:val="Overskrift1"/>
        <w:rPr>
          <w:lang w:val="en-US"/>
        </w:rPr>
      </w:pPr>
      <w:r w:rsidRPr="00FA1127">
        <w:rPr>
          <w:lang w:val="en-US"/>
        </w:rPr>
        <w:t>Practical example: Challenging sexual harassment in horticulture through social dialogue in Uganda</w:t>
      </w:r>
    </w:p>
    <w:p w:rsidR="00FA1127" w:rsidRDefault="00FA1127" w:rsidP="00FD74D3">
      <w:pPr>
        <w:spacing w:after="200" w:line="276" w:lineRule="auto"/>
        <w:rPr>
          <w:lang w:val="en-US"/>
        </w:rPr>
      </w:pPr>
    </w:p>
    <w:p w:rsidR="00FD74D3" w:rsidRPr="00FD74D3" w:rsidRDefault="00FD74D3" w:rsidP="00FD74D3">
      <w:pPr>
        <w:spacing w:after="200" w:line="276" w:lineRule="auto"/>
        <w:rPr>
          <w:lang w:val="en-US"/>
        </w:rPr>
      </w:pPr>
      <w:r w:rsidRPr="00FD74D3">
        <w:rPr>
          <w:lang w:val="en-US"/>
        </w:rPr>
        <w:t>This case study is an example of a collective bargaining agreement in the cut-flower sector in Uganda. It</w:t>
      </w:r>
      <w:r>
        <w:rPr>
          <w:lang w:val="en-US"/>
        </w:rPr>
        <w:t xml:space="preserve"> </w:t>
      </w:r>
      <w:r w:rsidRPr="00FD74D3">
        <w:rPr>
          <w:lang w:val="en-US"/>
        </w:rPr>
        <w:t>concerns union organizing from the bottom up and shows how this required the support of national trade</w:t>
      </w:r>
      <w:r>
        <w:rPr>
          <w:lang w:val="en-US"/>
        </w:rPr>
        <w:t xml:space="preserve"> </w:t>
      </w:r>
      <w:r w:rsidRPr="00FD74D3">
        <w:rPr>
          <w:lang w:val="en-US"/>
        </w:rPr>
        <w:t>unions, women’s organizations and an employer’s organization, as well as support from the government.</w:t>
      </w:r>
    </w:p>
    <w:p w:rsidR="00FD74D3" w:rsidRPr="00FD74D3" w:rsidRDefault="00FD74D3" w:rsidP="00FD74D3">
      <w:pPr>
        <w:spacing w:after="200" w:line="276" w:lineRule="auto"/>
        <w:rPr>
          <w:lang w:val="en-US"/>
        </w:rPr>
      </w:pPr>
      <w:r w:rsidRPr="00FD74D3">
        <w:rPr>
          <w:lang w:val="en-US"/>
        </w:rPr>
        <w:t>Sexual harassment in the cut-flower sector has been challenged through successful trade union</w:t>
      </w:r>
      <w:r>
        <w:rPr>
          <w:lang w:val="en-US"/>
        </w:rPr>
        <w:t xml:space="preserve"> </w:t>
      </w:r>
      <w:r w:rsidRPr="00FD74D3">
        <w:rPr>
          <w:lang w:val="en-US"/>
        </w:rPr>
        <w:t>organization and negotiation of CBAs. The CBAs set out the negotiated policy and procedure for dealing</w:t>
      </w:r>
      <w:r>
        <w:rPr>
          <w:lang w:val="en-US"/>
        </w:rPr>
        <w:t xml:space="preserve"> </w:t>
      </w:r>
      <w:r w:rsidRPr="00FD74D3">
        <w:rPr>
          <w:lang w:val="en-US"/>
        </w:rPr>
        <w:t>with sexual harassment on the farms. This was achieved despite marked hostility to trade unions from</w:t>
      </w:r>
      <w:r>
        <w:rPr>
          <w:lang w:val="en-US"/>
        </w:rPr>
        <w:t xml:space="preserve"> </w:t>
      </w:r>
      <w:r w:rsidRPr="00FD74D3">
        <w:rPr>
          <w:lang w:val="en-US"/>
        </w:rPr>
        <w:t>farm employers. An extensive academic research programme identified the importance of civil society</w:t>
      </w:r>
      <w:r>
        <w:rPr>
          <w:lang w:val="en-US"/>
        </w:rPr>
        <w:t xml:space="preserve"> </w:t>
      </w:r>
      <w:r w:rsidRPr="00FD74D3">
        <w:rPr>
          <w:lang w:val="en-US"/>
        </w:rPr>
        <w:t>and consumer campaigns in building clear farm policies on sexual harassment.</w:t>
      </w:r>
    </w:p>
    <w:p w:rsidR="00FD74D3" w:rsidRPr="00FD74D3" w:rsidRDefault="00FD74D3" w:rsidP="00FD74D3">
      <w:pPr>
        <w:pStyle w:val="Overskrift3"/>
        <w:rPr>
          <w:lang w:val="en-US"/>
        </w:rPr>
      </w:pPr>
      <w:r w:rsidRPr="00FD74D3">
        <w:rPr>
          <w:lang w:val="en-US"/>
        </w:rPr>
        <w:t>Kenya and Uganda</w:t>
      </w:r>
    </w:p>
    <w:p w:rsidR="00FD74D3" w:rsidRPr="00FD74D3" w:rsidRDefault="00FD74D3" w:rsidP="00FD74D3">
      <w:pPr>
        <w:spacing w:after="200" w:line="276" w:lineRule="auto"/>
        <w:rPr>
          <w:lang w:val="en-US"/>
        </w:rPr>
      </w:pPr>
      <w:r w:rsidRPr="00FD74D3">
        <w:rPr>
          <w:lang w:val="en-US"/>
        </w:rPr>
        <w:t>In both the Kenyan and Ugandan cut flower industries, there has been a notable reduction in sexual</w:t>
      </w:r>
      <w:r>
        <w:rPr>
          <w:lang w:val="en-US"/>
        </w:rPr>
        <w:t xml:space="preserve"> </w:t>
      </w:r>
      <w:r w:rsidRPr="00FD74D3">
        <w:rPr>
          <w:lang w:val="en-US"/>
        </w:rPr>
        <w:t>harassment of workers. The factors contributing to this were:</w:t>
      </w:r>
    </w:p>
    <w:p w:rsidR="00FD74D3" w:rsidRPr="00FD74D3" w:rsidRDefault="00FD74D3" w:rsidP="00FD74D3">
      <w:pPr>
        <w:pStyle w:val="Listeafsnit"/>
        <w:numPr>
          <w:ilvl w:val="0"/>
          <w:numId w:val="1"/>
        </w:numPr>
        <w:spacing w:after="200" w:line="276" w:lineRule="auto"/>
        <w:rPr>
          <w:lang w:val="en-US"/>
        </w:rPr>
      </w:pPr>
      <w:r w:rsidRPr="00FD74D3">
        <w:rPr>
          <w:lang w:val="en-US"/>
        </w:rPr>
        <w:t>Civil society campaigns leading to appointment of gender committees.</w:t>
      </w:r>
    </w:p>
    <w:p w:rsidR="00FD74D3" w:rsidRPr="00FD74D3" w:rsidRDefault="00FD74D3" w:rsidP="00FD74D3">
      <w:pPr>
        <w:pStyle w:val="Listeafsnit"/>
        <w:numPr>
          <w:ilvl w:val="0"/>
          <w:numId w:val="1"/>
        </w:numPr>
        <w:spacing w:after="200" w:line="276" w:lineRule="auto"/>
        <w:rPr>
          <w:lang w:val="en-US"/>
        </w:rPr>
      </w:pPr>
      <w:r w:rsidRPr="00FD74D3">
        <w:rPr>
          <w:lang w:val="en-US"/>
        </w:rPr>
        <w:t>Greater awareness on flower farms.</w:t>
      </w:r>
    </w:p>
    <w:p w:rsidR="00FD74D3" w:rsidRPr="00FD74D3" w:rsidRDefault="00FD74D3" w:rsidP="00FD74D3">
      <w:pPr>
        <w:pStyle w:val="Listeafsnit"/>
        <w:numPr>
          <w:ilvl w:val="0"/>
          <w:numId w:val="1"/>
        </w:numPr>
        <w:spacing w:after="200" w:line="276" w:lineRule="auto"/>
        <w:rPr>
          <w:lang w:val="en-US"/>
        </w:rPr>
      </w:pPr>
      <w:r w:rsidRPr="00FD74D3">
        <w:rPr>
          <w:lang w:val="en-US"/>
        </w:rPr>
        <w:t>Unionization of workers.</w:t>
      </w:r>
    </w:p>
    <w:p w:rsidR="00FD74D3" w:rsidRPr="00FD74D3" w:rsidRDefault="00FD74D3" w:rsidP="00FD74D3">
      <w:pPr>
        <w:pStyle w:val="Listeafsnit"/>
        <w:numPr>
          <w:ilvl w:val="0"/>
          <w:numId w:val="1"/>
        </w:numPr>
        <w:spacing w:after="200" w:line="276" w:lineRule="auto"/>
        <w:rPr>
          <w:lang w:val="en-US"/>
        </w:rPr>
      </w:pPr>
      <w:r w:rsidRPr="00FD74D3">
        <w:rPr>
          <w:lang w:val="en-US"/>
        </w:rPr>
        <w:t>Increase in permanent contracts, reducing the ability of supervisors to demand sexual favours,</w:t>
      </w:r>
      <w:r w:rsidRPr="00FD74D3">
        <w:rPr>
          <w:lang w:val="en-US"/>
        </w:rPr>
        <w:t xml:space="preserve"> </w:t>
      </w:r>
      <w:r w:rsidRPr="00FD74D3">
        <w:rPr>
          <w:lang w:val="en-US"/>
        </w:rPr>
        <w:t>which often occurred when hiring casual workers.</w:t>
      </w:r>
    </w:p>
    <w:p w:rsidR="00FD74D3" w:rsidRPr="00FD74D3" w:rsidRDefault="00FD74D3" w:rsidP="00FD74D3">
      <w:pPr>
        <w:pStyle w:val="Overskrift3"/>
        <w:rPr>
          <w:lang w:val="en-US"/>
        </w:rPr>
      </w:pPr>
      <w:r w:rsidRPr="00FD74D3">
        <w:rPr>
          <w:lang w:val="en-US"/>
        </w:rPr>
        <w:t>Role of Collective Bargaining</w:t>
      </w:r>
    </w:p>
    <w:p w:rsidR="00FD74D3" w:rsidRPr="00FD74D3" w:rsidRDefault="00FD74D3" w:rsidP="00FD74D3">
      <w:pPr>
        <w:spacing w:after="200" w:line="276" w:lineRule="auto"/>
        <w:rPr>
          <w:lang w:val="en-US"/>
        </w:rPr>
      </w:pPr>
      <w:r w:rsidRPr="00FD74D3">
        <w:rPr>
          <w:lang w:val="en-US"/>
        </w:rPr>
        <w:t>In Uganda the 2010 Collective Bargaining Agreement and wider advocacy by trade unions and national</w:t>
      </w:r>
      <w:r>
        <w:rPr>
          <w:lang w:val="en-US"/>
        </w:rPr>
        <w:t xml:space="preserve"> </w:t>
      </w:r>
      <w:r w:rsidRPr="00FD74D3">
        <w:rPr>
          <w:lang w:val="en-US"/>
        </w:rPr>
        <w:t>and international NGOs focused on the priorities of women workers in the Ugandan cut-flower industry.</w:t>
      </w:r>
      <w:r>
        <w:rPr>
          <w:lang w:val="en-US"/>
        </w:rPr>
        <w:t xml:space="preserve"> </w:t>
      </w:r>
      <w:r w:rsidRPr="00FD74D3">
        <w:rPr>
          <w:lang w:val="en-US"/>
        </w:rPr>
        <w:t>The CBA was negotiated between the Uganda Flower Exporters Association (UFEA) and the two national</w:t>
      </w:r>
      <w:r>
        <w:rPr>
          <w:lang w:val="en-US"/>
        </w:rPr>
        <w:t xml:space="preserve"> </w:t>
      </w:r>
      <w:r w:rsidRPr="00FD74D3">
        <w:rPr>
          <w:lang w:val="en-US"/>
        </w:rPr>
        <w:t>trade unions representing floriculture workers (UHAWU and NUPAWU). The CBA covers all workers,</w:t>
      </w:r>
      <w:r>
        <w:rPr>
          <w:lang w:val="en-US"/>
        </w:rPr>
        <w:t xml:space="preserve"> </w:t>
      </w:r>
      <w:r w:rsidRPr="00FD74D3">
        <w:rPr>
          <w:lang w:val="en-US"/>
        </w:rPr>
        <w:t>including non-union members. It consists of two separate agreements. Phase I covers conditions of</w:t>
      </w:r>
      <w:r>
        <w:rPr>
          <w:lang w:val="en-US"/>
        </w:rPr>
        <w:t xml:space="preserve"> </w:t>
      </w:r>
      <w:r w:rsidRPr="00FD74D3">
        <w:rPr>
          <w:lang w:val="en-US"/>
        </w:rPr>
        <w:t>service, which is negotiated every two years. Phase II is on salaries and wages, negotiated annually (UFEA</w:t>
      </w:r>
      <w:r>
        <w:rPr>
          <w:lang w:val="en-US"/>
        </w:rPr>
        <w:t xml:space="preserve"> </w:t>
      </w:r>
      <w:r w:rsidRPr="00FD74D3">
        <w:rPr>
          <w:lang w:val="en-US"/>
        </w:rPr>
        <w:t>and UHAWU, 2011). The Ministry of Gender, Labour and Social Development was engaged in the CBA</w:t>
      </w:r>
      <w:r>
        <w:rPr>
          <w:lang w:val="en-US"/>
        </w:rPr>
        <w:t xml:space="preserve"> </w:t>
      </w:r>
      <w:r w:rsidRPr="00FD74D3">
        <w:rPr>
          <w:lang w:val="en-US"/>
        </w:rPr>
        <w:t>discussions. The government supplies farms with condoms for HIV/AIDS prevention.</w:t>
      </w:r>
    </w:p>
    <w:p w:rsidR="00FD74D3" w:rsidRPr="00FD74D3" w:rsidRDefault="00FD74D3" w:rsidP="00FD74D3">
      <w:pPr>
        <w:spacing w:after="200" w:line="276" w:lineRule="auto"/>
        <w:rPr>
          <w:lang w:val="en-US"/>
        </w:rPr>
      </w:pPr>
      <w:r w:rsidRPr="00FD74D3">
        <w:rPr>
          <w:lang w:val="en-US"/>
        </w:rPr>
        <w:t>The CBA includes provisions to put in place a sector-wide sexual harassment policy to take steps to</w:t>
      </w:r>
      <w:r>
        <w:rPr>
          <w:lang w:val="en-US"/>
        </w:rPr>
        <w:t xml:space="preserve"> </w:t>
      </w:r>
      <w:r w:rsidRPr="00FD74D3">
        <w:rPr>
          <w:lang w:val="en-US"/>
        </w:rPr>
        <w:t>eliminate and prevent sexual harassment in the workplace. (UWEA, 2011) Workers on permanent</w:t>
      </w:r>
      <w:r>
        <w:rPr>
          <w:lang w:val="en-US"/>
        </w:rPr>
        <w:t xml:space="preserve"> </w:t>
      </w:r>
      <w:r w:rsidRPr="00FD74D3">
        <w:rPr>
          <w:lang w:val="en-US"/>
        </w:rPr>
        <w:t>contracts are entitled to paid annual leave of 21 days, maternity leave of 60 days, paternity leave of four</w:t>
      </w:r>
      <w:r>
        <w:rPr>
          <w:lang w:val="en-US"/>
        </w:rPr>
        <w:t xml:space="preserve"> </w:t>
      </w:r>
      <w:r w:rsidRPr="00FD74D3">
        <w:rPr>
          <w:lang w:val="en-US"/>
        </w:rPr>
        <w:t>days, and sick leave approved by the farm clinic.</w:t>
      </w:r>
    </w:p>
    <w:p w:rsidR="00FD74D3" w:rsidRPr="00FD74D3" w:rsidRDefault="00FD74D3" w:rsidP="00FD74D3">
      <w:pPr>
        <w:pStyle w:val="Overskrift3"/>
        <w:rPr>
          <w:lang w:val="en-US"/>
        </w:rPr>
      </w:pPr>
      <w:r w:rsidRPr="00FD74D3">
        <w:rPr>
          <w:lang w:val="en-US"/>
        </w:rPr>
        <w:t>Freedom of association and workers’ rights</w:t>
      </w:r>
    </w:p>
    <w:p w:rsidR="00FD74D3" w:rsidRPr="00FD74D3" w:rsidRDefault="00FD74D3" w:rsidP="00FD74D3">
      <w:pPr>
        <w:spacing w:after="200" w:line="276" w:lineRule="auto"/>
        <w:rPr>
          <w:lang w:val="en-US"/>
        </w:rPr>
      </w:pPr>
      <w:r w:rsidRPr="00FD74D3">
        <w:rPr>
          <w:lang w:val="en-US"/>
        </w:rPr>
        <w:t>Both flower and cuttings workers consider freedom of association and knowledge of their rights have improved</w:t>
      </w:r>
      <w:r>
        <w:rPr>
          <w:lang w:val="en-US"/>
        </w:rPr>
        <w:t xml:space="preserve"> </w:t>
      </w:r>
      <w:r w:rsidRPr="00FD74D3">
        <w:rPr>
          <w:lang w:val="en-US"/>
        </w:rPr>
        <w:t xml:space="preserve">since 2007. The union was well regarded by workers, particularly </w:t>
      </w:r>
      <w:r w:rsidRPr="00FD74D3">
        <w:rPr>
          <w:lang w:val="en-US"/>
        </w:rPr>
        <w:lastRenderedPageBreak/>
        <w:t>those on flower farms, where conditions have</w:t>
      </w:r>
      <w:r>
        <w:rPr>
          <w:lang w:val="en-US"/>
        </w:rPr>
        <w:t xml:space="preserve"> </w:t>
      </w:r>
      <w:r w:rsidRPr="00FD74D3">
        <w:rPr>
          <w:lang w:val="en-US"/>
        </w:rPr>
        <w:t>improved more dramatically as a result of the CBA. Farms have implemented a mixture of management-led</w:t>
      </w:r>
      <w:r>
        <w:rPr>
          <w:lang w:val="en-US"/>
        </w:rPr>
        <w:t xml:space="preserve"> </w:t>
      </w:r>
      <w:r w:rsidRPr="00FD74D3">
        <w:rPr>
          <w:lang w:val="en-US"/>
        </w:rPr>
        <w:t>and worker/union-led grievance mechanisms.</w:t>
      </w:r>
    </w:p>
    <w:p w:rsidR="00FD74D3" w:rsidRPr="00FD74D3" w:rsidRDefault="00FD74D3" w:rsidP="00FD74D3">
      <w:pPr>
        <w:spacing w:after="200" w:line="276" w:lineRule="auto"/>
        <w:rPr>
          <w:lang w:val="en-US"/>
        </w:rPr>
      </w:pPr>
      <w:r w:rsidRPr="00FD74D3">
        <w:rPr>
          <w:lang w:val="en-US"/>
        </w:rPr>
        <w:t>Most cuttings farms and two flower farms implemented grievance procedures for workers through human</w:t>
      </w:r>
      <w:r>
        <w:rPr>
          <w:lang w:val="en-US"/>
        </w:rPr>
        <w:t xml:space="preserve"> </w:t>
      </w:r>
      <w:r w:rsidRPr="00FD74D3">
        <w:rPr>
          <w:lang w:val="en-US"/>
        </w:rPr>
        <w:t>resources, where the union representative is present along with the complainant and their supervisor/manager and project-level administrators. All farms claim workers are free to join the union but workers</w:t>
      </w:r>
      <w:r>
        <w:rPr>
          <w:lang w:val="en-US"/>
        </w:rPr>
        <w:t xml:space="preserve"> </w:t>
      </w:r>
      <w:r w:rsidRPr="00FD74D3">
        <w:rPr>
          <w:lang w:val="en-US"/>
        </w:rPr>
        <w:t>raised the issue of victimization of union members, particularly union leaders on both cuttings and</w:t>
      </w:r>
      <w:r>
        <w:rPr>
          <w:lang w:val="en-US"/>
        </w:rPr>
        <w:t xml:space="preserve"> </w:t>
      </w:r>
      <w:r w:rsidRPr="00FD74D3">
        <w:rPr>
          <w:lang w:val="en-US"/>
        </w:rPr>
        <w:t>flowers farms. According to workers, antagonism towards the union (from all farm management, especially</w:t>
      </w:r>
      <w:r>
        <w:rPr>
          <w:lang w:val="en-US"/>
        </w:rPr>
        <w:t xml:space="preserve"> </w:t>
      </w:r>
      <w:r w:rsidRPr="00FD74D3">
        <w:rPr>
          <w:lang w:val="en-US"/>
        </w:rPr>
        <w:t>human resources) remains an issue on all farms. Although workers’ awareness of their rights seems to</w:t>
      </w:r>
      <w:r>
        <w:rPr>
          <w:lang w:val="en-US"/>
        </w:rPr>
        <w:t xml:space="preserve"> </w:t>
      </w:r>
      <w:r w:rsidRPr="00FD74D3">
        <w:rPr>
          <w:lang w:val="en-US"/>
        </w:rPr>
        <w:t>have increased over the past five years, many workers report that union membership has declined.</w:t>
      </w:r>
    </w:p>
    <w:p w:rsidR="00FD74D3" w:rsidRPr="00FD74D3" w:rsidRDefault="00FD74D3" w:rsidP="00FD74D3">
      <w:pPr>
        <w:pStyle w:val="Overskrift3"/>
        <w:rPr>
          <w:lang w:val="en-US"/>
        </w:rPr>
      </w:pPr>
      <w:r w:rsidRPr="00FD74D3">
        <w:rPr>
          <w:lang w:val="en-US"/>
        </w:rPr>
        <w:t>Sexual harassment</w:t>
      </w:r>
    </w:p>
    <w:p w:rsidR="00FD74D3" w:rsidRPr="00FD74D3" w:rsidRDefault="00FD74D3" w:rsidP="00FD74D3">
      <w:pPr>
        <w:spacing w:after="200" w:line="276" w:lineRule="auto"/>
        <w:rPr>
          <w:lang w:val="en-US"/>
        </w:rPr>
      </w:pPr>
      <w:r w:rsidRPr="00FD74D3">
        <w:rPr>
          <w:lang w:val="en-US"/>
        </w:rPr>
        <w:t>Workers and managers acknowledged that sexual harassment of women at work and travelling to and</w:t>
      </w:r>
      <w:r>
        <w:rPr>
          <w:lang w:val="en-US"/>
        </w:rPr>
        <w:t xml:space="preserve"> </w:t>
      </w:r>
      <w:r w:rsidRPr="00FD74D3">
        <w:rPr>
          <w:lang w:val="en-US"/>
        </w:rPr>
        <w:t>from work are common. Farm management, local and international NGOs (UWEA and Women Working</w:t>
      </w:r>
      <w:r>
        <w:rPr>
          <w:lang w:val="en-US"/>
        </w:rPr>
        <w:t xml:space="preserve"> </w:t>
      </w:r>
      <w:r w:rsidRPr="00FD74D3">
        <w:rPr>
          <w:lang w:val="en-US"/>
        </w:rPr>
        <w:t>Worldwide) and the trade unions have established mechanisms for reducing sexual harassment, including</w:t>
      </w:r>
      <w:r>
        <w:rPr>
          <w:lang w:val="en-US"/>
        </w:rPr>
        <w:t xml:space="preserve"> </w:t>
      </w:r>
      <w:r w:rsidRPr="00FD74D3">
        <w:rPr>
          <w:lang w:val="en-US"/>
        </w:rPr>
        <w:t>the implementation of a sexual harassment policy. This was in place or in progress on eight of the nine</w:t>
      </w:r>
      <w:r>
        <w:rPr>
          <w:lang w:val="en-US"/>
        </w:rPr>
        <w:t xml:space="preserve"> </w:t>
      </w:r>
      <w:r w:rsidRPr="00FD74D3">
        <w:rPr>
          <w:lang w:val="en-US"/>
        </w:rPr>
        <w:t>farms where researchers interviewed.</w:t>
      </w:r>
    </w:p>
    <w:p w:rsidR="00FD74D3" w:rsidRPr="00FD74D3" w:rsidRDefault="00FD74D3" w:rsidP="00FD74D3">
      <w:pPr>
        <w:spacing w:after="200" w:line="276" w:lineRule="auto"/>
        <w:rPr>
          <w:lang w:val="en-US"/>
        </w:rPr>
      </w:pPr>
      <w:r w:rsidRPr="00FD74D3">
        <w:rPr>
          <w:lang w:val="en-US"/>
        </w:rPr>
        <w:t>Workers brought to the management’s attention that the structure of farm management, which gave</w:t>
      </w:r>
      <w:r>
        <w:rPr>
          <w:lang w:val="en-US"/>
        </w:rPr>
        <w:t xml:space="preserve"> </w:t>
      </w:r>
      <w:r w:rsidRPr="00FD74D3">
        <w:rPr>
          <w:lang w:val="en-US"/>
        </w:rPr>
        <w:t>supervisors excessive power over production workers, contributed to sexual harassment in the workplace.</w:t>
      </w:r>
      <w:r>
        <w:rPr>
          <w:lang w:val="en-US"/>
        </w:rPr>
        <w:t xml:space="preserve"> </w:t>
      </w:r>
      <w:r w:rsidRPr="00FD74D3">
        <w:rPr>
          <w:lang w:val="en-US"/>
        </w:rPr>
        <w:t>This led to changes in management structures and reducing the discretionary power of supervisors.</w:t>
      </w:r>
      <w:r>
        <w:rPr>
          <w:lang w:val="en-US"/>
        </w:rPr>
        <w:t xml:space="preserve"> </w:t>
      </w:r>
      <w:r w:rsidRPr="00FD74D3">
        <w:rPr>
          <w:lang w:val="en-US"/>
        </w:rPr>
        <w:t>“Before, supervisors determined workers’ job, salary, their entire being...but now we have made them</w:t>
      </w:r>
      <w:r>
        <w:rPr>
          <w:lang w:val="en-US"/>
        </w:rPr>
        <w:t xml:space="preserve"> </w:t>
      </w:r>
      <w:r w:rsidRPr="00FD74D3">
        <w:rPr>
          <w:lang w:val="en-US"/>
        </w:rPr>
        <w:t>understand that they are here because of their performance.”</w:t>
      </w:r>
    </w:p>
    <w:p w:rsidR="00FD74D3" w:rsidRPr="00FD74D3" w:rsidRDefault="00FD74D3" w:rsidP="00FD74D3">
      <w:pPr>
        <w:spacing w:after="200" w:line="276" w:lineRule="auto"/>
        <w:rPr>
          <w:lang w:val="en-US"/>
        </w:rPr>
      </w:pPr>
      <w:r w:rsidRPr="00FD74D3">
        <w:rPr>
          <w:lang w:val="en-US"/>
        </w:rPr>
        <w:t>The trade unions as well as the companies are educated on the conditions facing women workers, and</w:t>
      </w:r>
      <w:r>
        <w:rPr>
          <w:lang w:val="en-US"/>
        </w:rPr>
        <w:t xml:space="preserve"> </w:t>
      </w:r>
      <w:r w:rsidRPr="00FD74D3">
        <w:rPr>
          <w:lang w:val="en-US"/>
        </w:rPr>
        <w:t>the costs of failing to meet the needs of women workers – both to the companies and to the women</w:t>
      </w:r>
      <w:r>
        <w:rPr>
          <w:lang w:val="en-US"/>
        </w:rPr>
        <w:t xml:space="preserve"> </w:t>
      </w:r>
      <w:r w:rsidRPr="00FD74D3">
        <w:rPr>
          <w:lang w:val="en-US"/>
        </w:rPr>
        <w:t>themselves. Testimonies from workers emphasized the importance of both UWEA and Women Working</w:t>
      </w:r>
      <w:r>
        <w:rPr>
          <w:lang w:val="en-US"/>
        </w:rPr>
        <w:t xml:space="preserve"> </w:t>
      </w:r>
      <w:r w:rsidRPr="00FD74D3">
        <w:rPr>
          <w:lang w:val="en-US"/>
        </w:rPr>
        <w:t>Worldwide. Although supportive, the union was not always sensitive to the needs of women workers. “Male</w:t>
      </w:r>
      <w:r>
        <w:rPr>
          <w:lang w:val="en-US"/>
        </w:rPr>
        <w:t xml:space="preserve"> </w:t>
      </w:r>
      <w:r w:rsidRPr="00FD74D3">
        <w:rPr>
          <w:lang w:val="en-US"/>
        </w:rPr>
        <w:t>leaders can’t know the problems women have. The union was there, but UWEA helped us to develop the</w:t>
      </w:r>
      <w:r>
        <w:rPr>
          <w:lang w:val="en-US"/>
        </w:rPr>
        <w:t xml:space="preserve"> </w:t>
      </w:r>
      <w:r w:rsidRPr="00FD74D3">
        <w:rPr>
          <w:lang w:val="en-US"/>
        </w:rPr>
        <w:t>Women’s Committee.” Women workers can raise problems with the Women’s Committee that they could</w:t>
      </w:r>
      <w:r>
        <w:rPr>
          <w:lang w:val="en-US"/>
        </w:rPr>
        <w:t xml:space="preserve"> </w:t>
      </w:r>
      <w:r w:rsidRPr="00FD74D3">
        <w:rPr>
          <w:lang w:val="en-US"/>
        </w:rPr>
        <w:t>not with the union representative or with company human resource managers.</w:t>
      </w:r>
    </w:p>
    <w:p w:rsidR="00FD74D3" w:rsidRPr="00A65FED" w:rsidRDefault="00FD74D3" w:rsidP="00A65FED">
      <w:pPr>
        <w:pStyle w:val="Listeafsnit"/>
        <w:numPr>
          <w:ilvl w:val="0"/>
          <w:numId w:val="2"/>
        </w:numPr>
        <w:spacing w:after="200" w:line="276" w:lineRule="auto"/>
        <w:rPr>
          <w:lang w:val="en-US"/>
        </w:rPr>
      </w:pPr>
      <w:r w:rsidRPr="00A65FED">
        <w:rPr>
          <w:lang w:val="en-US"/>
        </w:rPr>
        <w:t xml:space="preserve">UFEA - </w:t>
      </w:r>
      <w:r w:rsidRPr="00A65FED">
        <w:rPr>
          <w:lang w:val="en-US"/>
        </w:rPr>
        <w:t>Uganda Flo</w:t>
      </w:r>
      <w:r w:rsidRPr="00A65FED">
        <w:rPr>
          <w:lang w:val="en-US"/>
        </w:rPr>
        <w:t>wer Exporters Association</w:t>
      </w:r>
    </w:p>
    <w:p w:rsidR="00D54ECC" w:rsidRPr="00A65FED" w:rsidRDefault="00D54ECC" w:rsidP="00A65FED">
      <w:pPr>
        <w:pStyle w:val="Listeafsnit"/>
        <w:numPr>
          <w:ilvl w:val="0"/>
          <w:numId w:val="2"/>
        </w:numPr>
        <w:spacing w:after="200" w:line="276" w:lineRule="auto"/>
        <w:rPr>
          <w:lang w:val="en-US"/>
        </w:rPr>
      </w:pPr>
      <w:r w:rsidRPr="00A65FED">
        <w:rPr>
          <w:lang w:val="en-US"/>
        </w:rPr>
        <w:t>UHAWU</w:t>
      </w:r>
      <w:r w:rsidR="00A65FED" w:rsidRPr="00A65FED">
        <w:rPr>
          <w:lang w:val="en-US"/>
        </w:rPr>
        <w:t xml:space="preserve"> - Uganda Horticultural and Allied Workers′ Union</w:t>
      </w:r>
    </w:p>
    <w:p w:rsidR="00D54ECC" w:rsidRPr="00A65FED" w:rsidRDefault="00D54ECC" w:rsidP="00A65FED">
      <w:pPr>
        <w:pStyle w:val="Listeafsnit"/>
        <w:numPr>
          <w:ilvl w:val="0"/>
          <w:numId w:val="2"/>
        </w:numPr>
        <w:spacing w:after="200" w:line="276" w:lineRule="auto"/>
        <w:rPr>
          <w:lang w:val="en-US"/>
        </w:rPr>
      </w:pPr>
      <w:r w:rsidRPr="00A65FED">
        <w:rPr>
          <w:lang w:val="en-US"/>
        </w:rPr>
        <w:t>NUPAWU</w:t>
      </w:r>
      <w:r w:rsidR="00DB45DB" w:rsidRPr="00A65FED">
        <w:rPr>
          <w:lang w:val="en-US"/>
        </w:rPr>
        <w:t xml:space="preserve"> - National Union of Plantation and Agricultural Work</w:t>
      </w:r>
    </w:p>
    <w:p w:rsidR="00FD74D3" w:rsidRDefault="00FD74D3" w:rsidP="00A65FED">
      <w:pPr>
        <w:pStyle w:val="Listeafsnit"/>
        <w:numPr>
          <w:ilvl w:val="0"/>
          <w:numId w:val="2"/>
        </w:numPr>
        <w:spacing w:after="200" w:line="276" w:lineRule="auto"/>
        <w:rPr>
          <w:lang w:val="en-US"/>
        </w:rPr>
      </w:pPr>
      <w:r w:rsidRPr="00A65FED">
        <w:rPr>
          <w:lang w:val="en-US"/>
        </w:rPr>
        <w:t>UWEA -</w:t>
      </w:r>
      <w:r w:rsidRPr="00A65FED">
        <w:rPr>
          <w:lang w:val="en-US"/>
        </w:rPr>
        <w:t xml:space="preserve"> Uganda Workers Education Association</w:t>
      </w:r>
    </w:p>
    <w:p w:rsidR="00FA1127" w:rsidRPr="00FA1127" w:rsidRDefault="00FA1127" w:rsidP="00FA1127">
      <w:pPr>
        <w:spacing w:after="200" w:line="276" w:lineRule="auto"/>
        <w:rPr>
          <w:u w:val="single"/>
          <w:lang w:val="en-US"/>
        </w:rPr>
      </w:pPr>
      <w:r w:rsidRPr="00FA1127">
        <w:rPr>
          <w:b/>
          <w:u w:val="single"/>
          <w:lang w:val="en-US"/>
        </w:rPr>
        <w:t>Source:</w:t>
      </w:r>
      <w:r w:rsidRPr="00FA1127">
        <w:rPr>
          <w:u w:val="single"/>
          <w:lang w:val="en-US"/>
        </w:rPr>
        <w:t xml:space="preserve"> Gender-based violence in global supply chains: Resource Kit, International Training Centre of the International Labour Organization and Fair Wear Foundation</w:t>
      </w:r>
    </w:p>
    <w:p w:rsidR="00FA1127" w:rsidRPr="00FA1127" w:rsidRDefault="00FA1127">
      <w:pPr>
        <w:spacing w:after="200" w:line="276" w:lineRule="auto"/>
        <w:rPr>
          <w:u w:val="single"/>
          <w:lang w:val="en-US"/>
        </w:rPr>
      </w:pPr>
    </w:p>
    <w:sectPr w:rsidR="00FA1127" w:rsidRPr="00FA1127" w:rsidSect="009F6154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CAB" w:rsidRDefault="009B5CAB" w:rsidP="005F1D44">
      <w:pPr>
        <w:spacing w:after="0"/>
      </w:pPr>
      <w:r>
        <w:separator/>
      </w:r>
    </w:p>
  </w:endnote>
  <w:endnote w:type="continuationSeparator" w:id="1">
    <w:p w:rsidR="009B5CAB" w:rsidRDefault="009B5CAB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012663">
        <w:pPr>
          <w:pStyle w:val="Sidefod"/>
          <w:jc w:val="right"/>
        </w:pPr>
        <w:fldSimple w:instr=" PAGE   \* MERGEFORMAT ">
          <w:r w:rsidR="00FA1127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CAB" w:rsidRDefault="009B5CAB" w:rsidP="005F1D44">
      <w:pPr>
        <w:spacing w:after="0"/>
      </w:pPr>
      <w:r>
        <w:separator/>
      </w:r>
    </w:p>
  </w:footnote>
  <w:footnote w:type="continuationSeparator" w:id="1">
    <w:p w:rsidR="009B5CAB" w:rsidRDefault="009B5CAB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EF71AA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2AD4"/>
    <w:multiLevelType w:val="hybridMultilevel"/>
    <w:tmpl w:val="7264FB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932EA"/>
    <w:multiLevelType w:val="hybridMultilevel"/>
    <w:tmpl w:val="DEEED06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D54ECC"/>
    <w:rsid w:val="00012663"/>
    <w:rsid w:val="001B79A6"/>
    <w:rsid w:val="00270D1F"/>
    <w:rsid w:val="005F1D44"/>
    <w:rsid w:val="00741C72"/>
    <w:rsid w:val="00860B68"/>
    <w:rsid w:val="009B5CAB"/>
    <w:rsid w:val="009E619F"/>
    <w:rsid w:val="009F51A9"/>
    <w:rsid w:val="009F6154"/>
    <w:rsid w:val="00A65FED"/>
    <w:rsid w:val="00AF3C8B"/>
    <w:rsid w:val="00B2111F"/>
    <w:rsid w:val="00C16586"/>
    <w:rsid w:val="00D54ECC"/>
    <w:rsid w:val="00DB45DB"/>
    <w:rsid w:val="00EF71AA"/>
    <w:rsid w:val="00FA1127"/>
    <w:rsid w:val="00FD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FD74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DD3765-67CC-4E7D-B7D8-119F08F81056}"/>
</file>

<file path=customXml/itemProps2.xml><?xml version="1.0" encoding="utf-8"?>
<ds:datastoreItem xmlns:ds="http://schemas.openxmlformats.org/officeDocument/2006/customXml" ds:itemID="{47892EAD-5636-4598-B402-974E4EBF41BC}"/>
</file>

<file path=customXml/itemProps3.xml><?xml version="1.0" encoding="utf-8"?>
<ds:datastoreItem xmlns:ds="http://schemas.openxmlformats.org/officeDocument/2006/customXml" ds:itemID="{491847A8-7B41-416E-82B8-A47794FF616A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16</TotalTime>
  <Pages>2</Pages>
  <Words>781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5</cp:revision>
  <dcterms:created xsi:type="dcterms:W3CDTF">2019-08-27T13:38:00Z</dcterms:created>
  <dcterms:modified xsi:type="dcterms:W3CDTF">2019-08-27T13:54:00Z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