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D44" w:rsidRPr="00C74B59" w:rsidRDefault="00576F53" w:rsidP="00731BAE">
      <w:pPr>
        <w:pStyle w:val="Titel"/>
        <w:pBdr>
          <w:bottom w:val="single" w:sz="4" w:space="4" w:color="auto"/>
        </w:pBdr>
        <w:rPr>
          <w:color w:val="auto"/>
          <w:lang w:val="en-GB"/>
        </w:rPr>
      </w:pPr>
      <w:r>
        <w:rPr>
          <w:color w:val="auto"/>
          <w:lang w:val="en-GB"/>
        </w:rPr>
        <w:t>Module</w:t>
      </w:r>
      <w:r w:rsidR="00EF5062">
        <w:rPr>
          <w:color w:val="auto"/>
          <w:lang w:val="en-GB"/>
        </w:rPr>
        <w:t>s</w:t>
      </w:r>
      <w:r w:rsidR="00731BAE" w:rsidRPr="00C74B59">
        <w:rPr>
          <w:color w:val="auto"/>
          <w:lang w:val="en-GB"/>
        </w:rPr>
        <w:t xml:space="preserve">: </w:t>
      </w:r>
      <w:r w:rsidR="0027581F" w:rsidRPr="00C74B59">
        <w:rPr>
          <w:color w:val="auto"/>
          <w:lang w:val="en-GB"/>
        </w:rPr>
        <w:br/>
      </w:r>
      <w:r w:rsidR="007E3A7B">
        <w:rPr>
          <w:color w:val="auto"/>
          <w:lang w:val="en-GB"/>
        </w:rPr>
        <w:t>Technical and Vocational Education and Training (TVET)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Consortium participants: </w:t>
      </w:r>
    </w:p>
    <w:p w:rsidR="005F1D44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Bipartite</w:t>
      </w:r>
      <w:r w:rsidR="00431F2E">
        <w:rPr>
          <w:lang w:val="en-GB"/>
        </w:rPr>
        <w:t xml:space="preserve"> or individual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Partner participants: </w:t>
      </w:r>
    </w:p>
    <w:p w:rsidR="00731BAE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Bipartite</w:t>
      </w:r>
    </w:p>
    <w:p w:rsidR="00731BAE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Basis </w:t>
      </w:r>
      <w:r w:rsidR="00731BAE" w:rsidRPr="00C74B59">
        <w:rPr>
          <w:lang w:val="en-GB"/>
        </w:rPr>
        <w:t>for concept:</w:t>
      </w:r>
    </w:p>
    <w:p w:rsidR="00E05700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P</w:t>
      </w:r>
      <w:r w:rsidR="00F971C8" w:rsidRPr="00C74B59">
        <w:rPr>
          <w:lang w:val="en-GB"/>
        </w:rPr>
        <w:t xml:space="preserve">rojects in </w:t>
      </w:r>
      <w:r w:rsidR="00CB4442">
        <w:rPr>
          <w:lang w:val="en-GB"/>
        </w:rPr>
        <w:t>South Africa, East Africa and Middle East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>Maturity of S</w:t>
      </w:r>
      <w:r w:rsidRPr="00576F53">
        <w:rPr>
          <w:i/>
          <w:lang w:val="en-GB"/>
        </w:rPr>
        <w:t>o</w:t>
      </w:r>
      <w:r w:rsidRPr="00C74B59">
        <w:rPr>
          <w:lang w:val="en-GB"/>
        </w:rPr>
        <w:t>cial Dialogue</w:t>
      </w:r>
      <w:r w:rsidR="00552260" w:rsidRPr="00C74B59">
        <w:rPr>
          <w:lang w:val="en-GB"/>
        </w:rPr>
        <w:t xml:space="preserve"> in partner country</w:t>
      </w:r>
      <w:r w:rsidRPr="00C74B59">
        <w:rPr>
          <w:lang w:val="en-GB"/>
        </w:rPr>
        <w:t>:</w:t>
      </w:r>
    </w:p>
    <w:p w:rsidR="00731BAE" w:rsidRPr="00C74B59" w:rsidRDefault="00731BAE" w:rsidP="00731BAE">
      <w:pPr>
        <w:pStyle w:val="Listeafsnit"/>
        <w:numPr>
          <w:ilvl w:val="0"/>
          <w:numId w:val="8"/>
        </w:numPr>
        <w:rPr>
          <w:lang w:val="en-GB"/>
        </w:rPr>
      </w:pPr>
      <w:r w:rsidRPr="00C74B59">
        <w:rPr>
          <w:lang w:val="en-GB"/>
        </w:rPr>
        <w:t xml:space="preserve">Unstructured </w:t>
      </w:r>
      <w:r w:rsidR="00576F53">
        <w:rPr>
          <w:lang w:val="en-GB"/>
        </w:rPr>
        <w:t>an</w:t>
      </w:r>
      <w:r w:rsidR="00051940">
        <w:rPr>
          <w:lang w:val="en-GB"/>
        </w:rPr>
        <w:t>d</w:t>
      </w:r>
      <w:r w:rsidR="00576F53">
        <w:rPr>
          <w:lang w:val="en-GB"/>
        </w:rPr>
        <w:t xml:space="preserve"> structured</w:t>
      </w:r>
    </w:p>
    <w:p w:rsidR="00731BAE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Preconditions </w:t>
      </w:r>
    </w:p>
    <w:p w:rsidR="00E05700" w:rsidRPr="00C74B59" w:rsidRDefault="00BA111C" w:rsidP="00731BAE">
      <w:pPr>
        <w:pStyle w:val="Listeafsnit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Dialogue established </w:t>
      </w:r>
      <w:r w:rsidR="00F971C8" w:rsidRPr="00C74B59">
        <w:rPr>
          <w:lang w:val="en-GB"/>
        </w:rPr>
        <w:t xml:space="preserve">between national </w:t>
      </w:r>
      <w:r w:rsidR="00051940">
        <w:rPr>
          <w:lang w:val="en-GB"/>
        </w:rPr>
        <w:t xml:space="preserve">or enterprise level </w:t>
      </w:r>
      <w:r w:rsidR="00F971C8" w:rsidRPr="00C74B59">
        <w:rPr>
          <w:lang w:val="en-GB"/>
        </w:rPr>
        <w:t>social partners</w:t>
      </w:r>
    </w:p>
    <w:p w:rsidR="00E05700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Target group </w:t>
      </w:r>
    </w:p>
    <w:p w:rsidR="007B0575" w:rsidRPr="00F020F9" w:rsidRDefault="007B0575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F020F9">
        <w:rPr>
          <w:lang w:val="en-GB"/>
        </w:rPr>
        <w:t>National federation of employers and national confederation for trade unions.</w:t>
      </w:r>
    </w:p>
    <w:p w:rsidR="00E05700" w:rsidRPr="00F020F9" w:rsidRDefault="00F971C8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F020F9">
        <w:rPr>
          <w:lang w:val="en-GB"/>
        </w:rPr>
        <w:t xml:space="preserve">Union officers at national and regional level </w:t>
      </w:r>
    </w:p>
    <w:p w:rsidR="00E05700" w:rsidRPr="00F020F9" w:rsidRDefault="00F971C8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F020F9">
        <w:rPr>
          <w:lang w:val="en-GB"/>
        </w:rPr>
        <w:t xml:space="preserve">Employers and employers representatives at national and regional level </w:t>
      </w:r>
    </w:p>
    <w:p w:rsidR="00E05700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>Objective</w:t>
      </w:r>
      <w:r w:rsidR="00731BAE" w:rsidRPr="00C74B59">
        <w:rPr>
          <w:lang w:val="en-GB"/>
        </w:rPr>
        <w:t>s</w:t>
      </w:r>
    </w:p>
    <w:p w:rsidR="00051940" w:rsidRDefault="00F971C8" w:rsidP="00731BAE">
      <w:pPr>
        <w:pStyle w:val="Listeafsnit"/>
        <w:numPr>
          <w:ilvl w:val="0"/>
          <w:numId w:val="10"/>
        </w:numPr>
        <w:rPr>
          <w:lang w:val="en-GB"/>
        </w:rPr>
      </w:pPr>
      <w:r w:rsidRPr="00C74B59">
        <w:rPr>
          <w:lang w:val="en-GB"/>
        </w:rPr>
        <w:t>Establish a</w:t>
      </w:r>
      <w:r w:rsidR="00051940">
        <w:rPr>
          <w:lang w:val="en-GB"/>
        </w:rPr>
        <w:t xml:space="preserve">n understanding of the overlapping interests in the field of </w:t>
      </w:r>
      <w:r w:rsidR="00BA111C">
        <w:rPr>
          <w:lang w:val="en-GB"/>
        </w:rPr>
        <w:t>TVET</w:t>
      </w:r>
    </w:p>
    <w:p w:rsidR="00051940" w:rsidRDefault="00F971C8" w:rsidP="00731BAE">
      <w:pPr>
        <w:pStyle w:val="Listeafsnit"/>
        <w:numPr>
          <w:ilvl w:val="0"/>
          <w:numId w:val="10"/>
        </w:numPr>
        <w:rPr>
          <w:lang w:val="en-GB"/>
        </w:rPr>
      </w:pPr>
      <w:r w:rsidRPr="00C74B59">
        <w:rPr>
          <w:lang w:val="en-GB"/>
        </w:rPr>
        <w:t xml:space="preserve">Help the </w:t>
      </w:r>
      <w:r w:rsidR="00051940">
        <w:rPr>
          <w:lang w:val="en-GB"/>
        </w:rPr>
        <w:t>parties</w:t>
      </w:r>
      <w:r w:rsidRPr="00C74B59">
        <w:rPr>
          <w:lang w:val="en-GB"/>
        </w:rPr>
        <w:t xml:space="preserve"> establish a common understanding </w:t>
      </w:r>
      <w:r w:rsidR="00051940">
        <w:rPr>
          <w:lang w:val="en-GB"/>
        </w:rPr>
        <w:t xml:space="preserve">of the use of social dialogue as a tool to deal with </w:t>
      </w:r>
      <w:r w:rsidR="00BA111C">
        <w:rPr>
          <w:lang w:val="en-GB"/>
        </w:rPr>
        <w:t>TVET at regional or national basis</w:t>
      </w:r>
    </w:p>
    <w:p w:rsidR="00367BFA" w:rsidRDefault="00367BFA" w:rsidP="00731BAE">
      <w:pPr>
        <w:pStyle w:val="Listeafsnit"/>
        <w:numPr>
          <w:ilvl w:val="0"/>
          <w:numId w:val="10"/>
        </w:numPr>
        <w:rPr>
          <w:lang w:val="en-GB"/>
        </w:rPr>
      </w:pPr>
      <w:r>
        <w:rPr>
          <w:lang w:val="en-GB"/>
        </w:rPr>
        <w:t xml:space="preserve">Modules can be used for both individual employers and trade union </w:t>
      </w:r>
      <w:r w:rsidR="00BA111C">
        <w:rPr>
          <w:lang w:val="en-GB"/>
        </w:rPr>
        <w:t>groups</w:t>
      </w:r>
      <w:r>
        <w:rPr>
          <w:lang w:val="en-GB"/>
        </w:rPr>
        <w:t xml:space="preserve"> as well as for bipartite groups.</w:t>
      </w:r>
    </w:p>
    <w:p w:rsidR="003070EA" w:rsidRDefault="003070EA" w:rsidP="00731BAE">
      <w:pPr>
        <w:pStyle w:val="Listeafsnit"/>
        <w:numPr>
          <w:ilvl w:val="0"/>
          <w:numId w:val="10"/>
        </w:numPr>
        <w:rPr>
          <w:lang w:val="en-GB"/>
        </w:rPr>
      </w:pPr>
      <w:r>
        <w:rPr>
          <w:lang w:val="en-GB"/>
        </w:rPr>
        <w:t xml:space="preserve">Modules can be used both to introduce </w:t>
      </w:r>
      <w:r w:rsidR="00BA111C">
        <w:rPr>
          <w:lang w:val="en-GB"/>
        </w:rPr>
        <w:t>TVET</w:t>
      </w:r>
      <w:r>
        <w:rPr>
          <w:lang w:val="en-GB"/>
        </w:rPr>
        <w:t xml:space="preserve"> in a general social dialogue process, and to introduce social dialogue into a </w:t>
      </w:r>
      <w:r w:rsidR="00BA111C">
        <w:rPr>
          <w:lang w:val="en-GB"/>
        </w:rPr>
        <w:t>TVET</w:t>
      </w:r>
      <w:r>
        <w:rPr>
          <w:lang w:val="en-GB"/>
        </w:rPr>
        <w:t xml:space="preserve"> process</w:t>
      </w:r>
    </w:p>
    <w:p w:rsidR="003C5D9C" w:rsidRDefault="003C5D9C" w:rsidP="00731BAE">
      <w:pPr>
        <w:pStyle w:val="Listeafsnit"/>
        <w:numPr>
          <w:ilvl w:val="0"/>
          <w:numId w:val="10"/>
        </w:numPr>
        <w:rPr>
          <w:lang w:val="en-GB"/>
        </w:rPr>
      </w:pPr>
      <w:r>
        <w:rPr>
          <w:lang w:val="en-GB"/>
        </w:rPr>
        <w:t xml:space="preserve">Modules can also be part of a </w:t>
      </w:r>
      <w:r w:rsidR="00A5008A">
        <w:rPr>
          <w:lang w:val="en-GB"/>
        </w:rPr>
        <w:t>Social</w:t>
      </w:r>
      <w:r>
        <w:rPr>
          <w:lang w:val="en-GB"/>
        </w:rPr>
        <w:t xml:space="preserve"> Dialogue Advocacy concept.</w:t>
      </w:r>
    </w:p>
    <w:p w:rsidR="00676F4D" w:rsidRPr="00C74B59" w:rsidRDefault="00676F4D" w:rsidP="00676F4D">
      <w:pPr>
        <w:rPr>
          <w:b/>
          <w:lang w:val="en-GB"/>
        </w:rPr>
      </w:pPr>
      <w:r w:rsidRPr="00C74B59">
        <w:rPr>
          <w:b/>
          <w:lang w:val="en-GB"/>
        </w:rPr>
        <w:t>Format:</w:t>
      </w:r>
    </w:p>
    <w:p w:rsidR="00051940" w:rsidRDefault="00051940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Module 1: </w:t>
      </w:r>
      <w:r w:rsidR="00A36146">
        <w:rPr>
          <w:lang w:val="en-GB"/>
        </w:rPr>
        <w:t xml:space="preserve">Social dialogue </w:t>
      </w:r>
      <w:r w:rsidR="00EF5062">
        <w:rPr>
          <w:lang w:val="en-GB"/>
        </w:rPr>
        <w:t>and</w:t>
      </w:r>
      <w:r w:rsidR="00A36146">
        <w:rPr>
          <w:lang w:val="en-GB"/>
        </w:rPr>
        <w:t xml:space="preserve"> TVET</w:t>
      </w:r>
      <w:r>
        <w:rPr>
          <w:lang w:val="en-GB"/>
        </w:rPr>
        <w:t xml:space="preserve"> – Group discussion</w:t>
      </w:r>
    </w:p>
    <w:p w:rsidR="00051940" w:rsidRDefault="00051940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Module 2</w:t>
      </w:r>
      <w:r w:rsidR="00A36146">
        <w:rPr>
          <w:lang w:val="en-GB"/>
        </w:rPr>
        <w:t>: Recognition of Prior Learning – Group discussion</w:t>
      </w:r>
    </w:p>
    <w:p w:rsidR="00051940" w:rsidRDefault="00051940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The modules can be a part of a larger </w:t>
      </w:r>
      <w:r w:rsidR="00A36146">
        <w:rPr>
          <w:lang w:val="en-GB"/>
        </w:rPr>
        <w:t>TVET</w:t>
      </w:r>
      <w:r>
        <w:rPr>
          <w:lang w:val="en-GB"/>
        </w:rPr>
        <w:t xml:space="preserve"> concept, but they can also be elements in general </w:t>
      </w:r>
      <w:r w:rsidR="00A36146">
        <w:rPr>
          <w:lang w:val="en-GB"/>
        </w:rPr>
        <w:t xml:space="preserve">social dialogue </w:t>
      </w:r>
      <w:r>
        <w:rPr>
          <w:lang w:val="en-GB"/>
        </w:rPr>
        <w:t>capacity training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>Focus of workshops</w:t>
      </w:r>
      <w:r w:rsidR="00EA6857" w:rsidRPr="00C74B59">
        <w:rPr>
          <w:lang w:val="en-GB"/>
        </w:rPr>
        <w:t>:</w:t>
      </w:r>
    </w:p>
    <w:p w:rsidR="009F0A7F" w:rsidRDefault="00933502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933502">
        <w:rPr>
          <w:lang w:val="en-GB"/>
        </w:rPr>
        <w:t xml:space="preserve">Developing the understanding that </w:t>
      </w:r>
      <w:r w:rsidR="009F0A7F">
        <w:rPr>
          <w:lang w:val="en-GB"/>
        </w:rPr>
        <w:t>TVET is an area of  key joint interest where social dialogue and advocacy can play an important role</w:t>
      </w:r>
    </w:p>
    <w:p w:rsidR="00933502" w:rsidRPr="009F0A7F" w:rsidRDefault="009F0A7F" w:rsidP="009F0A7F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Increasing the understanding of the importance of recognition of prior learning as a tool to help the passage from an informal to the formal labour market</w:t>
      </w:r>
    </w:p>
    <w:p w:rsidR="00263031" w:rsidRPr="00C74B59" w:rsidRDefault="00263031" w:rsidP="00263031">
      <w:pPr>
        <w:pStyle w:val="Overskrift3"/>
        <w:rPr>
          <w:lang w:val="en-GB"/>
        </w:rPr>
      </w:pPr>
      <w:r w:rsidRPr="00C74B59">
        <w:rPr>
          <w:lang w:val="en-GB"/>
        </w:rPr>
        <w:t xml:space="preserve">Output and outcome </w:t>
      </w:r>
    </w:p>
    <w:p w:rsidR="00933502" w:rsidRDefault="00933502" w:rsidP="00263031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Understanding of social dialogue as an important tool for </w:t>
      </w:r>
      <w:r w:rsidR="006818BD">
        <w:rPr>
          <w:lang w:val="en-GB"/>
        </w:rPr>
        <w:t>TVET</w:t>
      </w:r>
    </w:p>
    <w:p w:rsidR="00933502" w:rsidRDefault="00A71009" w:rsidP="00263031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Increased skill in </w:t>
      </w:r>
      <w:r w:rsidR="006818BD">
        <w:rPr>
          <w:lang w:val="en-GB"/>
        </w:rPr>
        <w:t xml:space="preserve">using TVET as a social dialogue advocacy </w:t>
      </w:r>
      <w:r w:rsidR="00597C05">
        <w:rPr>
          <w:lang w:val="en-GB"/>
        </w:rPr>
        <w:t>subject.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lastRenderedPageBreak/>
        <w:t xml:space="preserve">Participants </w:t>
      </w:r>
    </w:p>
    <w:p w:rsidR="00597C05" w:rsidRDefault="00597C05" w:rsidP="00237B19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These modules can be used both for smaller and </w:t>
      </w:r>
      <w:proofErr w:type="spellStart"/>
      <w:r>
        <w:rPr>
          <w:lang w:val="en-GB"/>
        </w:rPr>
        <w:t>lerger</w:t>
      </w:r>
      <w:proofErr w:type="spellEnd"/>
      <w:r>
        <w:rPr>
          <w:lang w:val="en-GB"/>
        </w:rPr>
        <w:t xml:space="preserve"> groups, depending on the context.</w:t>
      </w:r>
    </w:p>
    <w:p w:rsidR="00263031" w:rsidRPr="00C74B59" w:rsidRDefault="00597C05" w:rsidP="00237B19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10-20</w:t>
      </w:r>
      <w:r w:rsidR="00237B19" w:rsidRPr="00C74B59">
        <w:rPr>
          <w:lang w:val="en-GB"/>
        </w:rPr>
        <w:t xml:space="preserve"> Participants</w:t>
      </w:r>
      <w:r w:rsidR="00F153D2" w:rsidRPr="00C74B59">
        <w:rPr>
          <w:lang w:val="en-GB"/>
        </w:rPr>
        <w:t xml:space="preserve"> 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>Trainers</w:t>
      </w:r>
      <w:r w:rsidR="007C2671" w:rsidRPr="00C74B59">
        <w:rPr>
          <w:lang w:val="en-GB"/>
        </w:rPr>
        <w:t xml:space="preserve"> and </w:t>
      </w:r>
      <w:r w:rsidR="001E417A" w:rsidRPr="00C74B59">
        <w:rPr>
          <w:lang w:val="en-GB"/>
        </w:rPr>
        <w:t>consultancy</w:t>
      </w:r>
      <w:r w:rsidRPr="00C74B59">
        <w:rPr>
          <w:lang w:val="en-GB"/>
        </w:rPr>
        <w:tab/>
        <w:t xml:space="preserve"> </w:t>
      </w:r>
    </w:p>
    <w:p w:rsidR="00E05700" w:rsidRPr="00C74B59" w:rsidRDefault="00F971C8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Trainers must have practical experience with Social Dialogue </w:t>
      </w:r>
    </w:p>
    <w:p w:rsidR="00E05700" w:rsidRPr="00C74B59" w:rsidRDefault="00F971C8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>Useful with a trainer, who has experience with simil</w:t>
      </w:r>
      <w:r w:rsidR="00AE27FB">
        <w:rPr>
          <w:lang w:val="en-GB"/>
        </w:rPr>
        <w:t>ar systems in other countries</w:t>
      </w:r>
    </w:p>
    <w:p w:rsidR="00EA6857" w:rsidRPr="00C74B59" w:rsidRDefault="00EA6857" w:rsidP="00EA6857">
      <w:pPr>
        <w:pStyle w:val="Overskrift3"/>
        <w:rPr>
          <w:lang w:val="en-GB"/>
        </w:rPr>
      </w:pPr>
      <w:r w:rsidRPr="00C74B59">
        <w:rPr>
          <w:lang w:val="en-GB"/>
        </w:rPr>
        <w:t>Material</w:t>
      </w:r>
      <w:r w:rsidR="00EF5062">
        <w:rPr>
          <w:lang w:val="en-GB"/>
        </w:rPr>
        <w:t>s</w:t>
      </w:r>
      <w:r w:rsidRPr="00C74B59">
        <w:rPr>
          <w:lang w:val="en-GB"/>
        </w:rPr>
        <w:t>:</w:t>
      </w:r>
    </w:p>
    <w:p w:rsidR="00EA6857" w:rsidRPr="00C74B59" w:rsidRDefault="00EA6857" w:rsidP="00EA6857">
      <w:pPr>
        <w:pStyle w:val="Listeafsnit"/>
        <w:numPr>
          <w:ilvl w:val="0"/>
          <w:numId w:val="17"/>
        </w:numPr>
        <w:rPr>
          <w:lang w:val="en-GB"/>
        </w:rPr>
      </w:pPr>
      <w:bookmarkStart w:id="0" w:name="_GoBack"/>
      <w:r w:rsidRPr="00C74B59">
        <w:rPr>
          <w:lang w:val="en-GB"/>
        </w:rPr>
        <w:t>PowerPoint presentations</w:t>
      </w:r>
    </w:p>
    <w:p w:rsidR="00EA6857" w:rsidRDefault="00450202" w:rsidP="00723DE2">
      <w:pPr>
        <w:pStyle w:val="Listeafsnit"/>
        <w:numPr>
          <w:ilvl w:val="1"/>
          <w:numId w:val="17"/>
        </w:numPr>
        <w:rPr>
          <w:lang w:val="en-GB"/>
        </w:rPr>
      </w:pPr>
      <w:r>
        <w:rPr>
          <w:lang w:val="en-GB"/>
        </w:rPr>
        <w:t>TVET and Social Dialogue</w:t>
      </w:r>
    </w:p>
    <w:p w:rsidR="004570D1" w:rsidRDefault="004570D1" w:rsidP="00723DE2">
      <w:pPr>
        <w:pStyle w:val="Listeafsnit"/>
        <w:numPr>
          <w:ilvl w:val="1"/>
          <w:numId w:val="17"/>
        </w:numPr>
        <w:rPr>
          <w:lang w:val="en-GB"/>
        </w:rPr>
      </w:pPr>
      <w:r>
        <w:rPr>
          <w:lang w:val="en-GB"/>
        </w:rPr>
        <w:t>Recognition of Prior Learning (RPL)</w:t>
      </w:r>
    </w:p>
    <w:p w:rsidR="003303EB" w:rsidRDefault="00EF5062" w:rsidP="00723DE2">
      <w:pPr>
        <w:pStyle w:val="Listeafsnit"/>
        <w:numPr>
          <w:ilvl w:val="1"/>
          <w:numId w:val="17"/>
        </w:numPr>
        <w:rPr>
          <w:lang w:val="en-GB"/>
        </w:rPr>
      </w:pPr>
      <w:r>
        <w:rPr>
          <w:lang w:val="en-GB"/>
        </w:rPr>
        <w:t>Social partnership in</w:t>
      </w:r>
      <w:r w:rsidR="003303EB">
        <w:rPr>
          <w:lang w:val="en-GB"/>
        </w:rPr>
        <w:t xml:space="preserve"> TVET – introduction and European experience</w:t>
      </w:r>
    </w:p>
    <w:p w:rsidR="00EF5062" w:rsidRDefault="00EF5062" w:rsidP="00EF5062">
      <w:pPr>
        <w:pStyle w:val="Listeafsnit"/>
        <w:ind w:left="1440"/>
        <w:rPr>
          <w:lang w:val="en-GB"/>
        </w:rPr>
      </w:pPr>
    </w:p>
    <w:p w:rsidR="00EA6857" w:rsidRPr="00C74B59" w:rsidRDefault="00EA6857" w:rsidP="00EA6857">
      <w:pPr>
        <w:pStyle w:val="Listeafsnit"/>
        <w:numPr>
          <w:ilvl w:val="0"/>
          <w:numId w:val="17"/>
        </w:numPr>
        <w:rPr>
          <w:lang w:val="en-GB"/>
        </w:rPr>
      </w:pPr>
      <w:r w:rsidRPr="00C74B59">
        <w:rPr>
          <w:lang w:val="en-GB"/>
        </w:rPr>
        <w:t xml:space="preserve">Activity Sheets </w:t>
      </w:r>
    </w:p>
    <w:p w:rsidR="00E24EA9" w:rsidRDefault="00EF5062" w:rsidP="00E24EA9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1: Qualifications and training</w:t>
      </w:r>
      <w:r w:rsidR="00E24EA9">
        <w:rPr>
          <w:lang w:val="en-GB"/>
        </w:rPr>
        <w:t xml:space="preserve"> – Group discussion</w:t>
      </w:r>
    </w:p>
    <w:p w:rsidR="00E24EA9" w:rsidRDefault="00EF5062" w:rsidP="00E24EA9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 xml:space="preserve">2: </w:t>
      </w:r>
      <w:r w:rsidR="00E24EA9">
        <w:rPr>
          <w:lang w:val="en-GB"/>
        </w:rPr>
        <w:t>Recognition of Prior Learning – Group discussion</w:t>
      </w:r>
    </w:p>
    <w:bookmarkEnd w:id="0"/>
    <w:p w:rsidR="00AB5BA5" w:rsidRPr="00BE30F1" w:rsidRDefault="00AB5BA5" w:rsidP="00E24EA9">
      <w:pPr>
        <w:pStyle w:val="Listeafsnit"/>
        <w:ind w:left="1440"/>
        <w:rPr>
          <w:lang w:val="en-GB"/>
        </w:rPr>
      </w:pPr>
    </w:p>
    <w:sectPr w:rsidR="00AB5BA5" w:rsidRPr="00BE30F1" w:rsidSect="00270D1F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D08" w:rsidRDefault="00163D08" w:rsidP="005F1D44">
      <w:pPr>
        <w:spacing w:after="0"/>
      </w:pPr>
      <w:r>
        <w:separator/>
      </w:r>
    </w:p>
  </w:endnote>
  <w:endnote w:type="continuationSeparator" w:id="0">
    <w:p w:rsidR="00163D08" w:rsidRDefault="00163D08" w:rsidP="005F1D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12297"/>
      <w:docPartObj>
        <w:docPartGallery w:val="Page Numbers (Bottom of Page)"/>
        <w:docPartUnique/>
      </w:docPartObj>
    </w:sdtPr>
    <w:sdtEndPr/>
    <w:sdtContent>
      <w:p w:rsidR="009E619F" w:rsidRDefault="008F54C0">
        <w:pPr>
          <w:pStyle w:val="Sidefo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50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E619F" w:rsidRDefault="009E619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D08" w:rsidRDefault="00163D08" w:rsidP="005F1D44">
      <w:pPr>
        <w:spacing w:after="0"/>
      </w:pPr>
      <w:r>
        <w:separator/>
      </w:r>
    </w:p>
  </w:footnote>
  <w:footnote w:type="continuationSeparator" w:id="0">
    <w:p w:rsidR="00163D08" w:rsidRDefault="00163D08" w:rsidP="005F1D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 xml:space="preserve">Social </w:t>
          </w:r>
          <w:proofErr w:type="spellStart"/>
          <w:r w:rsidRPr="00B2111F">
            <w:rPr>
              <w:color w:val="0078D7"/>
              <w:sz w:val="56"/>
            </w:rPr>
            <w:t>Dialogue</w:t>
          </w:r>
          <w:proofErr w:type="spellEnd"/>
        </w:p>
      </w:tc>
    </w:tr>
  </w:tbl>
  <w:p w:rsidR="005F1D44" w:rsidRDefault="005F1D44" w:rsidP="005F1D44">
    <w:pPr>
      <w:pStyle w:val="Sidehoved"/>
    </w:pPr>
  </w:p>
  <w:p w:rsidR="005F1D44" w:rsidRPr="005F1D44" w:rsidRDefault="00EF5062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3.4pt;height:443.4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7EF8"/>
    <w:multiLevelType w:val="hybridMultilevel"/>
    <w:tmpl w:val="670811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53405"/>
    <w:multiLevelType w:val="hybridMultilevel"/>
    <w:tmpl w:val="DD42B88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F301F"/>
    <w:multiLevelType w:val="hybridMultilevel"/>
    <w:tmpl w:val="3D38F9D0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C4390"/>
    <w:multiLevelType w:val="hybridMultilevel"/>
    <w:tmpl w:val="80FEED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D72A7"/>
    <w:multiLevelType w:val="hybridMultilevel"/>
    <w:tmpl w:val="71BE2066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E0B88"/>
    <w:multiLevelType w:val="hybridMultilevel"/>
    <w:tmpl w:val="24621A96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329B0"/>
    <w:multiLevelType w:val="hybridMultilevel"/>
    <w:tmpl w:val="E2A2E5C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905FCE"/>
    <w:multiLevelType w:val="hybridMultilevel"/>
    <w:tmpl w:val="49103DE0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1A1BDD"/>
    <w:multiLevelType w:val="hybridMultilevel"/>
    <w:tmpl w:val="5B80A9F8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140A3D"/>
    <w:multiLevelType w:val="hybridMultilevel"/>
    <w:tmpl w:val="112C1E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5D3DC5"/>
    <w:multiLevelType w:val="hybridMultilevel"/>
    <w:tmpl w:val="F548897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D32B47"/>
    <w:multiLevelType w:val="hybridMultilevel"/>
    <w:tmpl w:val="F37C9A9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CA5B5B"/>
    <w:multiLevelType w:val="hybridMultilevel"/>
    <w:tmpl w:val="0EFA00C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0B4924"/>
    <w:multiLevelType w:val="hybridMultilevel"/>
    <w:tmpl w:val="4066D866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E0F6D"/>
    <w:multiLevelType w:val="hybridMultilevel"/>
    <w:tmpl w:val="A040501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325DA6"/>
    <w:multiLevelType w:val="hybridMultilevel"/>
    <w:tmpl w:val="00FC0F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8C6776"/>
    <w:multiLevelType w:val="hybridMultilevel"/>
    <w:tmpl w:val="EC74CA30"/>
    <w:lvl w:ilvl="0" w:tplc="23362AA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AE6651C">
      <w:start w:val="64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16FBD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9C2F86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02AAD1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33AF4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BF038D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8D258B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79825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>
    <w:nsid w:val="6C2B0639"/>
    <w:multiLevelType w:val="hybridMultilevel"/>
    <w:tmpl w:val="B60A0F70"/>
    <w:lvl w:ilvl="0" w:tplc="7CDEF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446912">
      <w:start w:val="186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A469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AE5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D2FC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A610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F077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5A22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E88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E02119E"/>
    <w:multiLevelType w:val="hybridMultilevel"/>
    <w:tmpl w:val="0EE23D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1A5E44"/>
    <w:multiLevelType w:val="hybridMultilevel"/>
    <w:tmpl w:val="FBD48A0E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216BD4"/>
    <w:multiLevelType w:val="hybridMultilevel"/>
    <w:tmpl w:val="079E7A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0"/>
  </w:num>
  <w:num w:numId="4">
    <w:abstractNumId w:val="9"/>
  </w:num>
  <w:num w:numId="5">
    <w:abstractNumId w:val="20"/>
  </w:num>
  <w:num w:numId="6">
    <w:abstractNumId w:val="19"/>
  </w:num>
  <w:num w:numId="7">
    <w:abstractNumId w:val="7"/>
  </w:num>
  <w:num w:numId="8">
    <w:abstractNumId w:val="1"/>
  </w:num>
  <w:num w:numId="9">
    <w:abstractNumId w:val="11"/>
  </w:num>
  <w:num w:numId="10">
    <w:abstractNumId w:val="8"/>
  </w:num>
  <w:num w:numId="11">
    <w:abstractNumId w:val="4"/>
  </w:num>
  <w:num w:numId="12">
    <w:abstractNumId w:val="2"/>
  </w:num>
  <w:num w:numId="13">
    <w:abstractNumId w:val="13"/>
  </w:num>
  <w:num w:numId="14">
    <w:abstractNumId w:val="14"/>
  </w:num>
  <w:num w:numId="15">
    <w:abstractNumId w:val="5"/>
  </w:num>
  <w:num w:numId="16">
    <w:abstractNumId w:val="17"/>
  </w:num>
  <w:num w:numId="17">
    <w:abstractNumId w:val="6"/>
  </w:num>
  <w:num w:numId="18">
    <w:abstractNumId w:val="3"/>
  </w:num>
  <w:num w:numId="19">
    <w:abstractNumId w:val="15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F4D"/>
    <w:rsid w:val="00031E1D"/>
    <w:rsid w:val="000510C1"/>
    <w:rsid w:val="000511A4"/>
    <w:rsid w:val="00051940"/>
    <w:rsid w:val="00054845"/>
    <w:rsid w:val="000A53CD"/>
    <w:rsid w:val="000C4333"/>
    <w:rsid w:val="00163D08"/>
    <w:rsid w:val="00190A6C"/>
    <w:rsid w:val="001D2688"/>
    <w:rsid w:val="001E417A"/>
    <w:rsid w:val="00237B19"/>
    <w:rsid w:val="00255A43"/>
    <w:rsid w:val="00263031"/>
    <w:rsid w:val="00270D1F"/>
    <w:rsid w:val="0027581F"/>
    <w:rsid w:val="00285066"/>
    <w:rsid w:val="00306DB0"/>
    <w:rsid w:val="003070EA"/>
    <w:rsid w:val="003303EB"/>
    <w:rsid w:val="00367BFA"/>
    <w:rsid w:val="003C53F7"/>
    <w:rsid w:val="003C5D9C"/>
    <w:rsid w:val="00431F2E"/>
    <w:rsid w:val="00446C3F"/>
    <w:rsid w:val="00450202"/>
    <w:rsid w:val="004570D1"/>
    <w:rsid w:val="00552260"/>
    <w:rsid w:val="00576F53"/>
    <w:rsid w:val="00597C05"/>
    <w:rsid w:val="005D79AF"/>
    <w:rsid w:val="005F1D44"/>
    <w:rsid w:val="006165F0"/>
    <w:rsid w:val="00665CF9"/>
    <w:rsid w:val="00676F4D"/>
    <w:rsid w:val="006818BD"/>
    <w:rsid w:val="006C4D19"/>
    <w:rsid w:val="006D19CE"/>
    <w:rsid w:val="006F3825"/>
    <w:rsid w:val="0070032A"/>
    <w:rsid w:val="00723AA5"/>
    <w:rsid w:val="00723DE2"/>
    <w:rsid w:val="00731BAE"/>
    <w:rsid w:val="00735B33"/>
    <w:rsid w:val="00746C43"/>
    <w:rsid w:val="007A3954"/>
    <w:rsid w:val="007B0575"/>
    <w:rsid w:val="007B51E1"/>
    <w:rsid w:val="007C2671"/>
    <w:rsid w:val="007E3A7B"/>
    <w:rsid w:val="00860B68"/>
    <w:rsid w:val="008674DE"/>
    <w:rsid w:val="008917A8"/>
    <w:rsid w:val="008F54C0"/>
    <w:rsid w:val="00933502"/>
    <w:rsid w:val="009620A2"/>
    <w:rsid w:val="009E619F"/>
    <w:rsid w:val="009F0A7F"/>
    <w:rsid w:val="009F44C2"/>
    <w:rsid w:val="00A36146"/>
    <w:rsid w:val="00A5008A"/>
    <w:rsid w:val="00A71009"/>
    <w:rsid w:val="00A9784D"/>
    <w:rsid w:val="00AB5BA5"/>
    <w:rsid w:val="00AE27FB"/>
    <w:rsid w:val="00AF3C8B"/>
    <w:rsid w:val="00B2111F"/>
    <w:rsid w:val="00B77E21"/>
    <w:rsid w:val="00B813F9"/>
    <w:rsid w:val="00B94AD2"/>
    <w:rsid w:val="00BA111C"/>
    <w:rsid w:val="00BE30F1"/>
    <w:rsid w:val="00BF4AF0"/>
    <w:rsid w:val="00C6573E"/>
    <w:rsid w:val="00C74B59"/>
    <w:rsid w:val="00C93904"/>
    <w:rsid w:val="00CB4442"/>
    <w:rsid w:val="00CF0823"/>
    <w:rsid w:val="00D468F8"/>
    <w:rsid w:val="00D710A1"/>
    <w:rsid w:val="00DD0579"/>
    <w:rsid w:val="00DD0801"/>
    <w:rsid w:val="00E02142"/>
    <w:rsid w:val="00E05700"/>
    <w:rsid w:val="00E05D3D"/>
    <w:rsid w:val="00E24EA9"/>
    <w:rsid w:val="00E33FC2"/>
    <w:rsid w:val="00E5226B"/>
    <w:rsid w:val="00E850FB"/>
    <w:rsid w:val="00EA6857"/>
    <w:rsid w:val="00ED7060"/>
    <w:rsid w:val="00EE2A4B"/>
    <w:rsid w:val="00EF5062"/>
    <w:rsid w:val="00F020F9"/>
    <w:rsid w:val="00F153D2"/>
    <w:rsid w:val="00F440D1"/>
    <w:rsid w:val="00F9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731B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57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394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027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973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908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297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664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216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021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126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807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68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09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8317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177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29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46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95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54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524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88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79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6404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72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680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14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3213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243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082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892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4164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224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287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799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839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673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634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9540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960B56-16B1-4630-8C08-D603466B237F}"/>
</file>

<file path=customXml/itemProps2.xml><?xml version="1.0" encoding="utf-8"?>
<ds:datastoreItem xmlns:ds="http://schemas.openxmlformats.org/officeDocument/2006/customXml" ds:itemID="{BB2E87CC-0F0F-470B-A72F-9521E2E9343D}"/>
</file>

<file path=customXml/itemProps3.xml><?xml version="1.0" encoding="utf-8"?>
<ds:datastoreItem xmlns:ds="http://schemas.openxmlformats.org/officeDocument/2006/customXml" ds:itemID="{8B0DEE42-FD4C-4FEE-BA37-0CF004579709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</Template>
  <TotalTime>4</TotalTime>
  <Pages>2</Pages>
  <Words>340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 </cp:lastModifiedBy>
  <cp:revision>3</cp:revision>
  <cp:lastPrinted>2020-08-04T11:21:00Z</cp:lastPrinted>
  <dcterms:created xsi:type="dcterms:W3CDTF">2020-06-25T09:31:00Z</dcterms:created>
  <dcterms:modified xsi:type="dcterms:W3CDTF">2020-08-04T11:29:00Z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